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6F63" w14:textId="4AC69071" w:rsidR="00F92D0E" w:rsidRDefault="00B052ED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EA02242" wp14:editId="561585F6">
            <wp:extent cx="2114286" cy="2114286"/>
            <wp:effectExtent l="0" t="0" r="635" b="635"/>
            <wp:docPr id="651224284" name="Obraz 1" descr="Obraz zawierający Grafika, logo, symbol, Wielobar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24284" name="Obraz 1" descr="Obraz zawierający Grafika, logo, symbol, Wielobarwność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0F78" w14:textId="77777777" w:rsidR="00F92D0E" w:rsidRDefault="004244D4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Informacja o aktualnym stanie stosowania zasad ładu korporacyjnego określonych w dokumencie Dobre Praktyki Spółek Notowanych na </w:t>
      </w:r>
      <w:proofErr w:type="spellStart"/>
      <w:r>
        <w:rPr>
          <w:rFonts w:ascii="Verdana" w:hAnsi="Verdana"/>
          <w:b/>
          <w:bCs/>
          <w:sz w:val="24"/>
          <w:szCs w:val="24"/>
        </w:rPr>
        <w:t>NewConnect</w:t>
      </w:r>
      <w:proofErr w:type="spellEnd"/>
    </w:p>
    <w:p w14:paraId="1D5534A7" w14:textId="77777777" w:rsidR="00F92D0E" w:rsidRDefault="00F92D0E">
      <w:pPr>
        <w:rPr>
          <w:rFonts w:ascii="Verdana" w:hAnsi="Verdana" w:cs="Arial"/>
          <w:sz w:val="20"/>
          <w:szCs w:val="20"/>
        </w:rPr>
      </w:pPr>
    </w:p>
    <w:p w14:paraId="68D1BE23" w14:textId="77777777" w:rsidR="00F92D0E" w:rsidRDefault="004244D4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Spółka przyjmuje model biznesowy i strategię biznesową, które powinny brać pod uwagę oczekiwania akcjonariuszy oraz wychodzić naprzeciw potrzebom interesariuszy, w tym także – w zakresie odpowiednim do rodzaju oraz skali prowadzonej działalności - uwzględniać kwestie ESG.</w:t>
      </w:r>
    </w:p>
    <w:p w14:paraId="51782BE4" w14:textId="77777777" w:rsidR="00F92D0E" w:rsidRDefault="004244D4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Spółka prowadzi przejrzystą i rzetelną politykę informacyjną oraz dba o systematyczną, należytą komunikację z inwestorami i analitykami. </w:t>
      </w:r>
    </w:p>
    <w:p w14:paraId="0A38A83E" w14:textId="77777777" w:rsidR="00F92D0E" w:rsidRDefault="004244D4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Rada Nadzorcza i Zarząd mają decydujące znaczenie dla prawidłowego funkcjonowania Spółki, jej długoterminowego rozwoju, osiągania strategicznych celów i uzyskiwania satysfakcjonujących wyników. Mając na uwadze dbałość o najwyższe standardy w zakresie zarządzania Spółką i sprawowania nad nią nadzoru, o</w:t>
      </w:r>
      <w:r>
        <w:rPr>
          <w:rFonts w:ascii="Verdana" w:hAnsi="Verdana" w:cs="Arial"/>
          <w:b/>
          <w:bCs/>
          <w:sz w:val="20"/>
          <w:szCs w:val="20"/>
        </w:rPr>
        <w:t xml:space="preserve">soby podejmujące decyzje w sprawie wyboru Członków Zarządu lub Rady Nadzorczej dążą do zapewnienia wszechstronności i różnorodności tych organów, między innymi pod względem wykształcenia, specjalistycznej wiedzy, doświadczenia zawodowego i płci, tak by </w:t>
      </w:r>
      <w:r>
        <w:rPr>
          <w:rFonts w:ascii="Verdana" w:hAnsi="Verdana"/>
          <w:b/>
          <w:bCs/>
          <w:sz w:val="20"/>
          <w:szCs w:val="20"/>
        </w:rPr>
        <w:t xml:space="preserve">w skład Zarządu i Rady Nadzorczej powoływane były osoby posiadające kwalifikacje, kompetencje i doświadczenie niezbędne do prawidłowego wywiązywania się przez te organy z ich obowiązków i zadań. </w:t>
      </w:r>
    </w:p>
    <w:p w14:paraId="3A9B00E8" w14:textId="77777777" w:rsidR="00F92D0E" w:rsidRDefault="004244D4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Zachowując niezależność opinii i osądów, Członkowie Zarządu </w:t>
      </w:r>
      <w:r>
        <w:rPr>
          <w:rFonts w:ascii="Verdana" w:hAnsi="Verdana"/>
          <w:b/>
          <w:bCs/>
          <w:sz w:val="20"/>
          <w:szCs w:val="20"/>
        </w:rPr>
        <w:br/>
        <w:t>i Członkowie Rady Nadzorczej powinni działać w interesie Spółki.</w:t>
      </w:r>
    </w:p>
    <w:p w14:paraId="677E8877" w14:textId="77777777" w:rsidR="00F92D0E" w:rsidRDefault="004244D4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Skuteczne, odpowiednie do wielkości Spółki i rodzaju oraz skali prowadzonej działalności rozwiązania w zakresie kontroli wewnętrznej, zarządzania ryzykiem, nadzoru zgodności działalności z prawem oraz audytu wewnętrznego stanowią nieodzowne narzędzia faktycznego sprawowania nadzoru nad Spółką.</w:t>
      </w:r>
    </w:p>
    <w:p w14:paraId="7C46224E" w14:textId="77777777" w:rsidR="00F92D0E" w:rsidRDefault="00F92D0E"/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559"/>
        <w:gridCol w:w="3544"/>
      </w:tblGrid>
      <w:tr w:rsidR="00F92D0E" w14:paraId="465393BE" w14:textId="77777777">
        <w:trPr>
          <w:trHeight w:val="6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0BD0" w14:textId="77777777" w:rsidR="00F92D0E" w:rsidRDefault="004244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Treść zasady</w:t>
            </w: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9B" w14:textId="77777777" w:rsidR="00F92D0E" w:rsidRDefault="004244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Stosowanie zasady TAK/NIE</w:t>
            </w:r>
          </w:p>
        </w:tc>
        <w:tc>
          <w:tcPr>
            <w:tcW w:w="3544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BD5E" w14:textId="77777777" w:rsidR="00F92D0E" w:rsidRDefault="004244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Komentarz Spółki</w:t>
            </w:r>
          </w:p>
        </w:tc>
      </w:tr>
      <w:tr w:rsidR="00F92D0E" w14:paraId="33EC802C" w14:textId="77777777">
        <w:trPr>
          <w:trHeight w:val="804"/>
        </w:trPr>
        <w:tc>
          <w:tcPr>
            <w:tcW w:w="9488" w:type="dxa"/>
            <w:gridSpan w:val="3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7BCA3" w14:textId="77777777" w:rsidR="00F92D0E" w:rsidRDefault="00424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 Oprócz realizowania obowiązków informacyjnych określonych we właściwych przepisach prawa i regulacjach alternatywnego systemu obrotu spółka zamieszcza na swojej stronie internetowej, w czytelnej formie i wyodrębnionym miejscu, oraz niezwłocznie aktualizuje:</w:t>
            </w:r>
          </w:p>
        </w:tc>
      </w:tr>
      <w:tr w:rsidR="00F92D0E" w14:paraId="660EFE23" w14:textId="77777777">
        <w:trPr>
          <w:trHeight w:val="102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F25A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podstawowe informacje o spółce, opis jej działalności, a także informację na temat posiadanych spółek zależnych i przedmiocie ich działalności;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1C6C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A17C7" w14:textId="77777777" w:rsidR="00F92D0E" w:rsidRPr="006918EF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0852DB2E" w14:textId="77777777">
        <w:trPr>
          <w:trHeight w:val="102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848A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krótki opis modelu biznesowego oraz przyjętej strategii biznesowej, z uwzględnieniem zawartych w strategii obszarów z zakresu ESG;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9DB0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B56EE" w14:textId="0E4B5CA6" w:rsidR="00F92D0E" w:rsidRPr="006918EF" w:rsidRDefault="006918EF" w:rsidP="006918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commentRangeStart w:id="0"/>
            <w:r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Z uwagi na rozmiar Spółki zasady ESG nie są stosowane.</w:t>
            </w:r>
            <w:commentRangeEnd w:id="0"/>
            <w:r w:rsidR="00FB5DA6">
              <w:rPr>
                <w:rStyle w:val="Odwoaniedokomentarza"/>
              </w:rPr>
              <w:commentReference w:id="0"/>
            </w:r>
          </w:p>
        </w:tc>
      </w:tr>
      <w:tr w:rsidR="00F92D0E" w14:paraId="7C1B4915" w14:textId="77777777">
        <w:trPr>
          <w:trHeight w:val="1328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AC8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datę wprowadzenia akcji spółki do alternatywnego systemu obrotu na rynku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NewConnect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(datę debiutu) oraz wszystkie wcześniejsze nazwy spółki, jeżeli od daty debiutu firma spółki uległa zmianie;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27E6" w14:textId="4A532584" w:rsidR="00F92D0E" w:rsidRDefault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C9C77" w14:textId="0E4CE881" w:rsidR="00F92D0E" w:rsidRPr="006918EF" w:rsidRDefault="00983230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commentRangeStart w:id="1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  <w:commentRangeEnd w:id="1"/>
            <w:r w:rsidR="000F285F">
              <w:rPr>
                <w:rStyle w:val="Odwoaniedokomentarza"/>
              </w:rPr>
              <w:commentReference w:id="1"/>
            </w:r>
          </w:p>
        </w:tc>
      </w:tr>
      <w:tr w:rsidR="00F92D0E" w14:paraId="3550D19E" w14:textId="77777777">
        <w:trPr>
          <w:trHeight w:val="76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B240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skład zarządu i rady nadzorczej spółki oraz życiorysy zawodowe osób wchodzących w skład tych organów;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1265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CA207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09B69BC8" w14:textId="77777777">
        <w:trPr>
          <w:trHeight w:val="204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39A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1.5.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informacje o spełnianiu przez każdego z członków rady nadzorczej kryteriów niezależności, o których mowa w pkt 3, w tym o rzeczywistych i  istotnych powiązaniach z akcjonariuszem dysponującym akcjami reprezentującymi nie mniej niż 5% ogólnej liczby głosów na walnym zgromadzeniu spółki;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F68B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A060C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pl-PL"/>
              </w:rPr>
              <w:t>-</w:t>
            </w:r>
          </w:p>
        </w:tc>
      </w:tr>
      <w:tr w:rsidR="00F92D0E" w14:paraId="06BE947C" w14:textId="77777777">
        <w:trPr>
          <w:trHeight w:val="813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FB95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1.6.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dokumenty korporacyjne spółki;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583F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84FE9" w14:textId="77777777" w:rsidR="00F92D0E" w:rsidRPr="006918EF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pl-PL"/>
              </w:rPr>
              <w:t>-</w:t>
            </w:r>
          </w:p>
        </w:tc>
      </w:tr>
      <w:tr w:rsidR="00F92D0E" w14:paraId="1D24F324" w14:textId="77777777">
        <w:trPr>
          <w:trHeight w:val="76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0FD1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1.7.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udostępniane interesariuszom materiały informacyjne na temat spółki, przyjętej strategii i jej realizacji;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BCAA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C8346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594F4703" w14:textId="77777777">
        <w:trPr>
          <w:trHeight w:val="51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7655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1.8.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wybrane dane finansowe i opublikowane prognozy;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74F2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2821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A8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Aktualnie Spółka nie zamierza sporządzać prognoz finansowych. W przypadku, gdyby Spółka zdecydowała się sporządzić i opublikować prognozy finansowe, opinia publiczna zostanie poinformowane przez Spółkę, zgodnie z obowiązującymi przepisami.</w:t>
            </w:r>
          </w:p>
        </w:tc>
      </w:tr>
      <w:tr w:rsidR="00F92D0E" w14:paraId="4BE22EAD" w14:textId="77777777">
        <w:trPr>
          <w:trHeight w:val="102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33CD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1.9.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aktualną strukturę akcjonariatu, ze wskazaniem akcjonariuszy posiadających co najmniej 5% ogólnej liczby głosów w spółce;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2707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9EC11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124FDD54" w14:textId="77777777">
        <w:trPr>
          <w:trHeight w:val="127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8F45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lastRenderedPageBreak/>
              <w:t>1.10.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dokumenty informacyjne spółki, prospekty wraz z suplementami oraz inne dokumenty będące podstawą oferty publicznej akcji lub wprowadzenia akcji do alternatywnego systemu obrotu;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1D8A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7F7F2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commentRangeStart w:id="2"/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  <w:commentRangeEnd w:id="2"/>
            <w:r w:rsidR="003F38F5">
              <w:rPr>
                <w:rStyle w:val="Odwoaniedokomentarza"/>
              </w:rPr>
              <w:commentReference w:id="2"/>
            </w:r>
          </w:p>
        </w:tc>
      </w:tr>
      <w:tr w:rsidR="00F92D0E" w14:paraId="58AD3CD9" w14:textId="77777777">
        <w:trPr>
          <w:trHeight w:val="76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8DE6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1.11.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raporty bieżące i okresowe opublikowane przez spółkę w ciągu ostatnich 5 lat;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74BD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55BBE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600186D7" w14:textId="77777777">
        <w:trPr>
          <w:trHeight w:val="127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2CD9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1.12.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kalendarium publikacji raportów finansowych, publicznie dostępnych spotkań z inwestorami, analitykami i mediami oraz innych wydarzeń istotnych z punktu widzenia inwestorów;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3669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908C0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3C757F38" w14:textId="77777777">
        <w:trPr>
          <w:trHeight w:val="102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D35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1.13.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sekcję pytań zadawanych spółce zarówno przez akcjonariuszy, jak i osoby niebędące akcjonariuszami, wraz z odpowiedziami udzielonymi przez spółkę;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41B2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C2287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A8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ocenie Zarządu Spółki wszystkie istotne informacje na temat działalności Emitenta przekazywane są poprzez raporty bieżące i okresowe Spółki.</w:t>
            </w:r>
          </w:p>
        </w:tc>
      </w:tr>
      <w:tr w:rsidR="00F92D0E" w14:paraId="5E0840A6" w14:textId="77777777">
        <w:trPr>
          <w:trHeight w:val="102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996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1.14.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informację na temat podmiotu, z którym spółka podpisała umowę o świadczenie usług Autoryzowanego Doradcy;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A27D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B4239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2609E682" w14:textId="77777777">
        <w:trPr>
          <w:trHeight w:val="102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0621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1.15.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opublikowane w ostatnim raporcie rocznym oświadczenie o stosowaniu przez spółkę zasad ładu korporacyjnego zawartych w niniejszym dokumencie;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1A6C" w14:textId="48308D03" w:rsidR="00F92D0E" w:rsidRDefault="00886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77395" w14:textId="1509C962" w:rsidR="00F92D0E" w:rsidRPr="003E3A86" w:rsidRDefault="00983230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commentRangeStart w:id="3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  <w:commentRangeEnd w:id="3"/>
            <w:r w:rsidR="00EA0628">
              <w:rPr>
                <w:rStyle w:val="Odwoaniedokomentarza"/>
              </w:rPr>
              <w:commentReference w:id="3"/>
            </w:r>
          </w:p>
        </w:tc>
      </w:tr>
      <w:tr w:rsidR="00F92D0E" w14:paraId="0BC2B6F4" w14:textId="77777777">
        <w:trPr>
          <w:trHeight w:val="127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D8B9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1.16.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dane kontaktowe do osób odpowiedzialnych w spółce za komunikację z inwestorami, ze wskazaniem dedykowanego adresu e-mail lub numeru telefonu.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26B3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04D4F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152DD56A" w14:textId="77777777">
        <w:trPr>
          <w:trHeight w:val="178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6DA8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2. Zakres aktywności zawodowej osób wchodzących w skład zarządu lub rady nadzorczej powinien zapewnić sprawne i wydajne zarządzanie spółką oraz sprawowanie efektywnego nadzoru w zakresie realizacji celów strategicznych i osiąganych wyników.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96A8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86F98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42728206" w14:textId="77777777">
        <w:trPr>
          <w:trHeight w:val="255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0A05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 Co najmniej dwóch członków rady nadzorczej powinno spełniać kryteria niezależności wymienione w ustawie z dnia 11 maja 2017 r. o biegłych rewidentach, firmach audytorskich oraz nadzorze publicznym, a także wykazywać się brakiem rzeczywistych i istotnych powiązań z akcjonariuszem posiadającym co najmniej 5% ogólnej liczby głosów w spółce.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125F" w14:textId="62E65188" w:rsidR="00F92D0E" w:rsidRDefault="0051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F94F6" w14:textId="782AA50D" w:rsidR="00F92D0E" w:rsidRPr="003E3A86" w:rsidRDefault="00F92D0E" w:rsidP="006918EF">
            <w:pPr>
              <w:pStyle w:val="pf0"/>
              <w:jc w:val="center"/>
              <w:rPr>
                <w:rStyle w:val="cf01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2D0E" w14:paraId="43A9C68C" w14:textId="77777777">
        <w:trPr>
          <w:trHeight w:val="408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0628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4. Członek zarzą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u lub rady nadzorczej powinien unikać podejmowania aktywności zawodowej lub pozazawodowej, która mogłaby prowadzić do powstawania konfliktu interesów lub wpływać negatywnie na jego reputacje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̨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jako członka organu spółki. O zaistniałym konflikcie interesów lub moż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iwości jego powstania członek zarządu lub rady nadzorczej niezwłocznie informuje pozostałych członków właściwego organu spółki oraz nie bierze udziału w dyskusji i głosowaniu nad uchwałą w sprawie, w której w stosunku do jego osoby może wystąpić konflikt interesów.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0E8A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A8E16" w14:textId="3C82E709" w:rsidR="00F92D0E" w:rsidRPr="006918EF" w:rsidRDefault="00C54492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4243C622" w14:textId="77777777">
        <w:trPr>
          <w:trHeight w:val="300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B98E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5. Spółka zapewnia rozwiązania w zakresie kontroli wewnętrznej, zarządzania ryzykiem, w tym ryzykiem dotyczącym sporządzania sprawozdań finansowych, oraz w zakresie nadzoru zgodności działalności z prawem, a także funkcję audytu wewnętrznego. Rozwiązania przyjęte przez spółkę w tym zakresie powinny być dostosowane do wielkości spółki oraz rodzaju i skali prowadzonej działalności, jak również do poziomu ryzyka związanego z jej prowadzeniem.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6E7A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835D4" w14:textId="126CB412" w:rsidR="00983230" w:rsidRPr="00983230" w:rsidRDefault="00983230" w:rsidP="00983230">
            <w:pPr>
              <w:pStyle w:val="pf0"/>
              <w:jc w:val="center"/>
              <w:rPr>
                <w:rStyle w:val="cf01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83230">
              <w:rPr>
                <w:rStyle w:val="cf01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Czynności związane z kontrolą wewnętrzną, zarządzaniem ryzykiem, w tym ryzykiem dotyczącym sporządzania sprawozdań finansowych, oraz w zakresie nadzoru zgodności działalności z prawem, a także funkcję audytu wewnętrznego, prowadzone są poprzez komórki wewnętrzne Spółki, które z uwagi na wielkość Spółki oraz homogeniczność jej oferty produktowej formalnie w powyższym zakresie nie zostały wyodrębnione.</w:t>
            </w:r>
          </w:p>
          <w:p w14:paraId="5854A4D1" w14:textId="42C5D9B6" w:rsidR="00F92D0E" w:rsidRPr="00983230" w:rsidRDefault="00983230" w:rsidP="00983230">
            <w:pPr>
              <w:pStyle w:val="pf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83230">
              <w:rPr>
                <w:rStyle w:val="cf01"/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Przedmiotowe czynności wykonują także osoby powołane do organów zarządzających i nadzorczych Spółki, przy wsparciu zewnętrznych doradców i audytorów.</w:t>
            </w:r>
          </w:p>
        </w:tc>
      </w:tr>
      <w:tr w:rsidR="00F92D0E" w14:paraId="69B33C13" w14:textId="77777777">
        <w:trPr>
          <w:trHeight w:val="306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E8E2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6. Rada nadzorcza w ramach przysługujących jej uprawnień monitoruje proces sporządzania sprawozdań finansowych. W tym celu rada nadzorcza co najmniej zapoznaje się z harmonogramem prac koniecznych dla sporządzenia sprawozdania finansowego zgodnie z obowiązującymi przepisami i omawia ten harmonogram z zarządem spółki, a także utrzymuje komunikację z biegłym rewidentem wybranym do badania sprawozdania finansowego.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FA78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3BBA9" w14:textId="7C5738F9" w:rsidR="00F92D0E" w:rsidRPr="003E3A86" w:rsidRDefault="006918EF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3A8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42700B81" w14:textId="77777777">
        <w:trPr>
          <w:trHeight w:val="127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A482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7. Rada nadzorcza zapoznaje się z porządkiem obrad walnego zgromadzenia oraz opiniuje materiały, które mają być przedstawione przez spółkę walnemu zgromadzeniu.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CF83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0CEF2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0E97A63D" w14:textId="77777777">
        <w:trPr>
          <w:trHeight w:val="127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3BCA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8. Zarząd spółki, zwołując walne zgromadzenie, dokonuje wyboru terminu, miejsca i formy walnego zgromadzenia tak, by umożliwić udział w obradach jak największej liczbie akcjonariuszy.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8BC0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E16A6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74453687" w14:textId="77777777">
        <w:trPr>
          <w:trHeight w:val="331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405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9. W przypadku otrzymania przez zarząd informacji o zwołaniu walnego zgromadzenia na podstawie art. 399 § 2 - 4 Kodeksu spółek handlowych zarząd niezwłocznie dokonuje czynności, do których jest zobowiązany w związku z organizacją i przeprowadzeniem walnego zgromadzenia. Zasada ta ma zastosowanie również w przypadku zwołania walnego zgromadzenia na podstawie upoważnienia wydanego przez sąd rejestrowy zgodnie z art. 400 § 3 Kodeksu spółek handlowych.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970E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0DC04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F92D0E" w14:paraId="70D4B4BD" w14:textId="77777777">
        <w:trPr>
          <w:trHeight w:val="229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D846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10. Członkowie zarządu i rady nadzorczej uczestniczą w obradach walnego zgromadzenia, w miejscu obrad lub za pośrednictwem środków dwustronnej komunikacji elektronicznej w czasie rzeczywistym, w składzie umożliwiającym udzielenie merytorycznych odpowiedzi na pytania zadawane w trakcie walnego zgromadzenia.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B965" w14:textId="12AC8D51" w:rsidR="00F92D0E" w:rsidRDefault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72FA" w14:textId="1D3B64DC" w:rsidR="00F92D0E" w:rsidRPr="003E3A86" w:rsidRDefault="006918EF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E3A86">
              <w:rPr>
                <w:rFonts w:ascii="Calibri" w:eastAsia="Times New Roman" w:hAnsi="Calibri" w:cs="Calibri"/>
                <w:b/>
                <w:bCs/>
                <w:lang w:eastAsia="pl-PL"/>
              </w:rPr>
              <w:t>-</w:t>
            </w:r>
          </w:p>
        </w:tc>
      </w:tr>
      <w:tr w:rsidR="00F92D0E" w14:paraId="395EA569" w14:textId="77777777">
        <w:trPr>
          <w:trHeight w:val="153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A149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pl-PL"/>
              </w:rPr>
              <w:t>11. Żaden akcjonariusz nie powinien być uprzywilejowany w stosunku do pozostałych akcjonariuszy w zakresie transakcji zawieranych przez spółkę z akcjonariuszami lub podmiotami z nimi powiązanymi.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3348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A08C0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  <w:tr w:rsidR="003836A3" w14:paraId="7C54F65E" w14:textId="77777777">
        <w:trPr>
          <w:trHeight w:val="652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A21" w14:textId="77777777" w:rsidR="003836A3" w:rsidRDefault="003836A3" w:rsidP="003836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12. Przed zawarciem przez spółkę istotnej umowy z akcjonariuszem posiadającym co najmniej 5% ogólnej liczby głosów w spółce lub podmiotem z nim powiązanym zarząd zwraca się do rady nadzorczej o wyrażenie zgody na taką transakcję. Rada nadzorcza przed wyrażeniem zgody dokonuje oceny wpływu takiej transakcji na interes spółki,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zwracając uwagę, aby interesy różnych grup akcjonariuszy nie przeważyły nad interesem spółki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.  Powyższemu obowiązkowi nie podlegają transakcje typowe i zawierane na warunkach rynkowych w ramach prowadzonej działalności operacyjnej przez spółkę z podmiotami wchodzącymi w skład grupy kapitałowej spółki, które są objęte konsolidacją. W przypadku gdy decyzję w sprawie zawarcia przez spółkę istotnej umowy z podmiotem powiązanym podejmuje walne zgromadzenie, przed podjęciem takiej decyzji spółka zapewnia wszystkim akcjonariuszom dostęp do informacji niezbędnych do dokonania oceny wpływu tej transakcji na interes spółki.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971D" w14:textId="77777777" w:rsidR="003836A3" w:rsidRDefault="003836A3" w:rsidP="0038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NIE</w:t>
            </w:r>
          </w:p>
          <w:p w14:paraId="3353F424" w14:textId="77777777" w:rsidR="003836A3" w:rsidRDefault="003836A3" w:rsidP="0038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55636" w14:textId="77777777" w:rsidR="003836A3" w:rsidRPr="001F4279" w:rsidRDefault="003836A3" w:rsidP="001F4279">
            <w:pPr>
              <w:pStyle w:val="pf0"/>
              <w:ind w:left="77" w:right="6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42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Spółka nie stosuje niniejszej zasady, ponieważ jej przestrzeganie mogłoby negatywnie wpłynąć na sprawność i efektywność realizacji prowadzonych projektów. Niemniej Zarząd Spółki zapewnia, iż nie dopuszcza, aby w trakcie przedmiotowych transakcji interesy różnych grup akcjonariuszy Emitenta przeważyły nad interesem Spółki.</w:t>
            </w:r>
          </w:p>
          <w:p w14:paraId="7AB13BED" w14:textId="7198085A" w:rsidR="003836A3" w:rsidRPr="003E3A86" w:rsidRDefault="003836A3" w:rsidP="001F4279">
            <w:pPr>
              <w:pStyle w:val="pf0"/>
              <w:jc w:val="center"/>
              <w:rPr>
                <w:rFonts w:ascii="Calibri" w:hAnsi="Calibri" w:cs="Calibri"/>
                <w:b/>
                <w:bCs/>
                <w:color w:val="70AD47" w:themeColor="accent6"/>
              </w:rPr>
            </w:pPr>
          </w:p>
        </w:tc>
      </w:tr>
      <w:tr w:rsidR="00F92D0E" w14:paraId="61B0C6A8" w14:textId="77777777">
        <w:trPr>
          <w:trHeight w:val="1275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D57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pacing w:val="-3"/>
                <w:sz w:val="20"/>
                <w:szCs w:val="20"/>
                <w:lang w:eastAsia="pl-PL"/>
              </w:rPr>
              <w:t>13. W przypadku zgłoszenia przez inwestora żądania udzielenia informacji na temat spółki, spółka udziela odpowiedzi nie później niż w terminie 14 dni.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62EC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BD395" w14:textId="7C4FE00D" w:rsidR="00F92D0E" w:rsidRPr="006918EF" w:rsidRDefault="006918EF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Spółka podkreśla, iż nie będzie odpowiadała na pytania, które naruszają tajemnicę przedsiębiorstwa lub związane są z informacjami poufnymi jeszcze nie podanymi do wiadomości publicznej.</w:t>
            </w:r>
          </w:p>
        </w:tc>
      </w:tr>
      <w:tr w:rsidR="00F92D0E" w14:paraId="706145B0" w14:textId="77777777">
        <w:trPr>
          <w:trHeight w:val="2310"/>
        </w:trPr>
        <w:tc>
          <w:tcPr>
            <w:tcW w:w="438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F877" w14:textId="77777777" w:rsidR="00F92D0E" w:rsidRDefault="004244D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14. W przypadku naruszenia przez emitenta obowiązku informacyjnego określonego w Załączniku Nr 3 do Regulaminu Alternatywnego Systemu Obrotu emitent powinien niezwłocznie opublikować, w trybie właściwym dla przekazywania raportów bieżących na rynku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NewConnect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, informację wyjaśniającą zaistniałą sytuację.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DA7B" w14:textId="77777777" w:rsidR="00F92D0E" w:rsidRDefault="0042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B4DB8" w14:textId="77777777" w:rsidR="00F92D0E" w:rsidRPr="003E3A86" w:rsidRDefault="004244D4" w:rsidP="00691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18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</w:tr>
    </w:tbl>
    <w:p w14:paraId="5EBB5377" w14:textId="77777777" w:rsidR="00F92D0E" w:rsidRDefault="00F92D0E"/>
    <w:sectPr w:rsidR="00F92D0E">
      <w:headerReference w:type="default" r:id="rId13"/>
      <w:footerReference w:type="default" r:id="rId14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onrad Gozdawa-Grajewski" w:date="2024-10-10T10:05:00Z" w:initials="KG">
    <w:p w14:paraId="05128C3C" w14:textId="77777777" w:rsidR="00FB5DA6" w:rsidRDefault="00FB5DA6" w:rsidP="00FB5DA6">
      <w:pPr>
        <w:pStyle w:val="Tekstkomentarza"/>
      </w:pPr>
      <w:r>
        <w:rPr>
          <w:rStyle w:val="Odwoaniedokomentarza"/>
        </w:rPr>
        <w:annotationRef/>
      </w:r>
      <w:r>
        <w:t xml:space="preserve">Dla pewności do potwierdzenia. </w:t>
      </w:r>
      <w:r>
        <w:rPr>
          <w:b/>
          <w:bCs/>
          <w:color w:val="111111"/>
          <w:highlight w:val="white"/>
        </w:rPr>
        <w:t xml:space="preserve">ESG </w:t>
      </w:r>
      <w:r>
        <w:rPr>
          <w:color w:val="111111"/>
          <w:highlight w:val="white"/>
        </w:rPr>
        <w:t>to</w:t>
      </w:r>
      <w:r>
        <w:rPr>
          <w:b/>
          <w:bCs/>
          <w:color w:val="111111"/>
          <w:highlight w:val="white"/>
        </w:rPr>
        <w:t xml:space="preserve"> </w:t>
      </w:r>
      <w:r>
        <w:rPr>
          <w:color w:val="111111"/>
          <w:highlight w:val="white"/>
        </w:rPr>
        <w:t>Environmental, Social, Governance, odnosi się do działań firmy na rzecz ekologii, społecznej odpowiedzialności biznesu i ładu korporacyjnego</w:t>
      </w:r>
    </w:p>
  </w:comment>
  <w:comment w:id="1" w:author="Konrad Gozdawa-Grajewski" w:date="2024-10-10T10:07:00Z" w:initials="KG">
    <w:p w14:paraId="74F0394A" w14:textId="77777777" w:rsidR="003F38F5" w:rsidRDefault="000F285F" w:rsidP="003F38F5">
      <w:pPr>
        <w:pStyle w:val="Tekstkomentarza"/>
      </w:pPr>
      <w:r>
        <w:rPr>
          <w:rStyle w:val="Odwoaniedokomentarza"/>
        </w:rPr>
        <w:annotationRef/>
      </w:r>
      <w:r w:rsidR="003F38F5">
        <w:t>Gdy data debiutu będzie znana będę prosił by dopisać datę na stronie</w:t>
      </w:r>
    </w:p>
  </w:comment>
  <w:comment w:id="2" w:author="Konrad Gozdawa-Grajewski" w:date="2024-10-10T10:48:00Z" w:initials="KG">
    <w:p w14:paraId="7F59478E" w14:textId="2273FB60" w:rsidR="003F38F5" w:rsidRDefault="003F38F5" w:rsidP="003F38F5">
      <w:pPr>
        <w:pStyle w:val="Tekstkomentarza"/>
      </w:pPr>
      <w:r>
        <w:rPr>
          <w:rStyle w:val="Odwoaniedokomentarza"/>
        </w:rPr>
        <w:annotationRef/>
      </w:r>
      <w:r>
        <w:t>Na obecny moment tego nie ma na stronie. Będę prosił o uzupełnienia po wprowadzeniu akcji</w:t>
      </w:r>
    </w:p>
  </w:comment>
  <w:comment w:id="3" w:author="Konrad Gozdawa-Grajewski" w:date="2024-10-10T11:12:00Z" w:initials="KG">
    <w:p w14:paraId="7FD478BA" w14:textId="77777777" w:rsidR="00EA0628" w:rsidRDefault="00EA0628" w:rsidP="00EA0628">
      <w:pPr>
        <w:pStyle w:val="Tekstkomentarza"/>
      </w:pPr>
      <w:r>
        <w:rPr>
          <w:rStyle w:val="Odwoaniedokomentarza"/>
        </w:rPr>
        <w:annotationRef/>
      </w:r>
      <w:r>
        <w:t>Nie musimy dawać wyjaśnienia, ponieważ Spółka będzie to robiła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128C3C" w15:done="0"/>
  <w15:commentEx w15:paraId="74F0394A" w15:done="0"/>
  <w15:commentEx w15:paraId="7F59478E" w15:done="0"/>
  <w15:commentEx w15:paraId="7FD478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9FF84C" w16cex:dateUtc="2024-10-10T08:05:00Z"/>
  <w16cex:commentExtensible w16cex:durableId="3FF8EE14" w16cex:dateUtc="2024-10-10T08:07:00Z"/>
  <w16cex:commentExtensible w16cex:durableId="3DF8C588" w16cex:dateUtc="2024-10-10T08:48:00Z"/>
  <w16cex:commentExtensible w16cex:durableId="7D9C14DC" w16cex:dateUtc="2024-10-10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128C3C" w16cid:durableId="069FF84C"/>
  <w16cid:commentId w16cid:paraId="74F0394A" w16cid:durableId="3FF8EE14"/>
  <w16cid:commentId w16cid:paraId="7F59478E" w16cid:durableId="3DF8C588"/>
  <w16cid:commentId w16cid:paraId="7FD478BA" w16cid:durableId="7D9C14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B724" w14:textId="77777777" w:rsidR="00BC243C" w:rsidRDefault="00BC243C">
      <w:pPr>
        <w:spacing w:after="0" w:line="240" w:lineRule="auto"/>
      </w:pPr>
      <w:r>
        <w:separator/>
      </w:r>
    </w:p>
  </w:endnote>
  <w:endnote w:type="continuationSeparator" w:id="0">
    <w:p w14:paraId="6A64AC03" w14:textId="77777777" w:rsidR="00BC243C" w:rsidRDefault="00BC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9788412"/>
      <w:docPartObj>
        <w:docPartGallery w:val="Page Numbers (Bottom of Page)"/>
        <w:docPartUnique/>
      </w:docPartObj>
    </w:sdtPr>
    <w:sdtEndPr/>
    <w:sdtContent>
      <w:p w14:paraId="0D24E3E8" w14:textId="77777777" w:rsidR="00F92D0E" w:rsidRDefault="004244D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B47E28B" w14:textId="77777777" w:rsidR="00F92D0E" w:rsidRDefault="00F92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CC34" w14:textId="77777777" w:rsidR="00BC243C" w:rsidRDefault="00BC243C">
      <w:pPr>
        <w:spacing w:after="0" w:line="240" w:lineRule="auto"/>
      </w:pPr>
      <w:r>
        <w:separator/>
      </w:r>
    </w:p>
  </w:footnote>
  <w:footnote w:type="continuationSeparator" w:id="0">
    <w:p w14:paraId="1329AD64" w14:textId="77777777" w:rsidR="00BC243C" w:rsidRDefault="00BC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EFC5" w14:textId="77777777" w:rsidR="00F92D0E" w:rsidRDefault="00F92D0E">
    <w:pPr>
      <w:rPr>
        <w:rFonts w:ascii="Verdana" w:hAnsi="Verdana"/>
        <w:sz w:val="16"/>
        <w:szCs w:val="16"/>
      </w:rPr>
    </w:pPr>
  </w:p>
  <w:p w14:paraId="39CD2A9D" w14:textId="77777777" w:rsidR="00F92D0E" w:rsidRDefault="00F92D0E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rad Gozdawa-Grajewski">
    <w15:presenceInfo w15:providerId="AD" w15:userId="S::k.grajewski@blueoak.pl::26111dd7-3ee2-4966-a54b-ec106d6a5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E"/>
    <w:rsid w:val="000E5D21"/>
    <w:rsid w:val="000F285F"/>
    <w:rsid w:val="001F4279"/>
    <w:rsid w:val="002103D0"/>
    <w:rsid w:val="002532AB"/>
    <w:rsid w:val="00326CF3"/>
    <w:rsid w:val="003836A3"/>
    <w:rsid w:val="003E3A86"/>
    <w:rsid w:val="003F38F5"/>
    <w:rsid w:val="004244D4"/>
    <w:rsid w:val="00510C9C"/>
    <w:rsid w:val="006918EF"/>
    <w:rsid w:val="006B4389"/>
    <w:rsid w:val="007F36A1"/>
    <w:rsid w:val="00876EB7"/>
    <w:rsid w:val="00886737"/>
    <w:rsid w:val="00950223"/>
    <w:rsid w:val="00983230"/>
    <w:rsid w:val="00A7060E"/>
    <w:rsid w:val="00AD3040"/>
    <w:rsid w:val="00AE3633"/>
    <w:rsid w:val="00B052ED"/>
    <w:rsid w:val="00B604E0"/>
    <w:rsid w:val="00BC243C"/>
    <w:rsid w:val="00C54492"/>
    <w:rsid w:val="00CD45C2"/>
    <w:rsid w:val="00DD54FE"/>
    <w:rsid w:val="00E376C2"/>
    <w:rsid w:val="00EA0628"/>
    <w:rsid w:val="00EC44E0"/>
    <w:rsid w:val="00F26B7D"/>
    <w:rsid w:val="00F26C96"/>
    <w:rsid w:val="00F30A3A"/>
    <w:rsid w:val="00F92D0E"/>
    <w:rsid w:val="00FB5DA6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B0A2"/>
  <w15:docId w15:val="{42BA6897-1262-4A32-BA04-89A11084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cf01">
    <w:name w:val="cf01"/>
    <w:basedOn w:val="Domylnaczcionkaakapitu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d9569de3-fae5-4e2d-a5c1-e0a5a3c841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C4D1-4172-4E7E-9720-39E4C6DF63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5BF01A-CBF4-412F-B80E-8BED82A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Sochański Janusz</dc:creator>
  <cp:keywords>#Kategoria: [Wewnętrzne/Nie zawiera danych osobowych]#</cp:keywords>
  <dc:description/>
  <cp:lastModifiedBy>Konrad Gozdawa-Grajewski</cp:lastModifiedBy>
  <cp:revision>10</cp:revision>
  <dcterms:created xsi:type="dcterms:W3CDTF">2024-08-05T14:44:00Z</dcterms:created>
  <dcterms:modified xsi:type="dcterms:W3CDTF">2024-10-10T09:12:00Z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e5981323-9959-415b-94cf-0aba56b6829e</vt:lpwstr>
  </property>
  <property fmtid="{D5CDD505-2E9C-101B-9397-08002B2CF9AE}" pid="3" name="bjSaver">
    <vt:lpwstr>Ff/El+pmhSp7c4cH4nnCD1Egxp/yojs1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5" name="bjDocumentLabelXML-0">
    <vt:lpwstr>ames.com/2008/01/sie/internal/label"&gt;&lt;element uid="697367d0-0d11-4d4e-80a2-256155fcabe6" value="" /&gt;&lt;element uid="d9569de3-fae5-4e2d-a5c1-e0a5a3c84173" value="" /&gt;&lt;/sisl&gt;</vt:lpwstr>
  </property>
  <property fmtid="{D5CDD505-2E9C-101B-9397-08002B2CF9AE}" pid="6" name="bjDocumentSecurityLabel">
    <vt:lpwstr>Kategoria: Wewnętrzne/Nie zawiera danych osobowych</vt:lpwstr>
  </property>
</Properties>
</file>